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0"/>
        <w:gridCol w:w="4962"/>
      </w:tblGrid>
      <w:tr>
        <w:trPr/>
        <w:tc>
          <w:tcPr>
            <w:tcW w:w="496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Додаток </w:t>
            </w:r>
            <w:r>
              <w:rPr/>
              <w:t>1</w:t>
            </w:r>
          </w:p>
        </w:tc>
      </w:tr>
      <w:tr>
        <w:trPr/>
        <w:tc>
          <w:tcPr>
            <w:tcW w:w="496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До Аналізу регуляторного впливу до проекту </w:t>
            </w:r>
            <w:r>
              <w:rPr/>
              <w:t xml:space="preserve">рішення виконкому Миколаївської міської ради “Про затвердження Правил приймання стічних вод до систем централізованого </w:t>
            </w:r>
            <w:r>
              <w:rPr/>
              <w:t>в</w:t>
            </w:r>
            <w:r>
              <w:rPr/>
              <w:t>одовідведення  м. Миколаєва”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Орієнтовні</w:t>
      </w:r>
      <w:r>
        <w:rPr>
          <w:b/>
          <w:bCs/>
        </w:rPr>
        <w:t xml:space="preserve"> капітальні витрати на будівництво ЛОС для попереднього очищення стічних вод підприємств </w:t>
      </w:r>
      <w:r>
        <w:rPr>
          <w:b/>
          <w:bCs/>
        </w:rPr>
        <w:t>т</w:t>
      </w:r>
      <w:r>
        <w:rPr>
          <w:b/>
          <w:bCs/>
        </w:rPr>
        <w:t>а оплата наднормативно забруднених стічних вод за відсутності ЛОС</w:t>
      </w:r>
    </w:p>
    <w:p>
      <w:pPr>
        <w:pStyle w:val="Normal"/>
        <w:jc w:val="center"/>
        <w:rPr/>
      </w:pPr>
      <w:r>
        <w:rPr/>
      </w:r>
    </w:p>
    <w:tbl>
      <w:tblPr>
        <w:tblW w:w="992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4"/>
        <w:gridCol w:w="1984"/>
        <w:gridCol w:w="1985"/>
        <w:gridCol w:w="1984"/>
        <w:gridCol w:w="1985"/>
      </w:tblGrid>
      <w:tr>
        <w:trPr/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Вартість будівництва ЛОС (при продуктивності), грн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Питома вартість будівництва, </w:t>
            </w:r>
          </w:p>
          <w:p>
            <w:pPr>
              <w:pStyle w:val="Style19"/>
              <w:jc w:val="center"/>
              <w:rPr/>
            </w:pPr>
            <w:r>
              <w:rPr/>
              <w:t>грн/м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 м</w:t>
            </w:r>
            <w:r>
              <w:rPr>
                <w:vertAlign w:val="superscript"/>
              </w:rPr>
              <w:t>3</w:t>
            </w:r>
            <w:r>
              <w:rPr>
                <w:b/>
                <w:bCs/>
                <w:position w:val="0"/>
                <w:sz w:val="24"/>
                <w:vertAlign w:val="baseline"/>
              </w:rPr>
              <w:t>/</w:t>
            </w:r>
            <w:r>
              <w:rPr>
                <w:b w:val="false"/>
                <w:bCs w:val="false"/>
                <w:position w:val="0"/>
                <w:sz w:val="24"/>
                <w:vertAlign w:val="baseline"/>
              </w:rPr>
              <w:t>добу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100  м</w:t>
            </w:r>
            <w:r>
              <w:rPr>
                <w:vertAlign w:val="superscript"/>
              </w:rPr>
              <w:t>3</w:t>
            </w:r>
            <w:r>
              <w:rPr>
                <w:b/>
                <w:bCs/>
                <w:position w:val="0"/>
                <w:sz w:val="24"/>
                <w:vertAlign w:val="baseline"/>
              </w:rPr>
              <w:t>/</w:t>
            </w:r>
            <w:r>
              <w:rPr>
                <w:b w:val="false"/>
                <w:bCs w:val="false"/>
                <w:position w:val="0"/>
                <w:sz w:val="24"/>
                <w:vertAlign w:val="baseline"/>
              </w:rPr>
              <w:t>добу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1000  м</w:t>
            </w:r>
            <w:r>
              <w:rPr>
                <w:vertAlign w:val="superscript"/>
              </w:rPr>
              <w:t>3</w:t>
            </w:r>
            <w:r>
              <w:rPr>
                <w:b/>
                <w:bCs/>
                <w:position w:val="0"/>
                <w:sz w:val="24"/>
                <w:vertAlign w:val="baseline"/>
              </w:rPr>
              <w:t>/</w:t>
            </w:r>
            <w:r>
              <w:rPr>
                <w:b w:val="false"/>
                <w:bCs w:val="false"/>
                <w:position w:val="0"/>
                <w:sz w:val="24"/>
                <w:vertAlign w:val="baseline"/>
              </w:rPr>
              <w:t>добу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Найпростіші споруди (решітки, уловлювачі жиру, тощо)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60000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300000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3000000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Споруди зі складним технологічним циклом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300000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1500000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15000000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Плата за скид стічних вод </w:t>
            </w:r>
            <w:r>
              <w:rPr/>
              <w:t>(грн/рік)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Тариф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Т=10 </w:t>
            </w:r>
            <w:r>
              <w:rPr/>
              <w:t>грн/м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73000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365000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3650000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Додаткова плата за скид наднормативно забруднених стічних вод, грн/рік</w:t>
            </w:r>
          </w:p>
          <w:p>
            <w:pPr>
              <w:pStyle w:val="Style19"/>
              <w:jc w:val="center"/>
              <w:rPr/>
            </w:pPr>
            <w:r>
              <w:rPr/>
              <w:t>(без урахування інших видів відшкодувань)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Коефіцієнт 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73000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365000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3650000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Коефіцієнт 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292000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1460000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14600000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Збитки виробника при порушенні режиму роботи споруд біологічного очищення (загибель мулу) через скиди промислових стічних вод із перевищенням гранично допустимих концентрацій </w:t>
      </w:r>
      <w:r>
        <w:rPr>
          <w:b/>
          <w:bCs/>
        </w:rPr>
        <w:t>(без урахування шкоди рибному господарству та погіршення стану водного об’єкту — джерела водопостачання)</w:t>
      </w:r>
    </w:p>
    <w:p>
      <w:pPr>
        <w:pStyle w:val="Normal"/>
        <w:jc w:val="center"/>
        <w:rPr/>
      </w:pPr>
      <w:r>
        <w:rPr/>
      </w:r>
    </w:p>
    <w:tbl>
      <w:tblPr>
        <w:tblW w:w="992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60"/>
        <w:gridCol w:w="4962"/>
      </w:tblGrid>
      <w:tr>
        <w:trPr/>
        <w:tc>
          <w:tcPr>
            <w:tcW w:w="4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Продуктивність КОС</w:t>
            </w:r>
          </w:p>
        </w:tc>
      </w:tr>
      <w:tr>
        <w:trPr/>
        <w:tc>
          <w:tcPr>
            <w:tcW w:w="4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64 </w:t>
            </w:r>
            <w:r>
              <w:rPr/>
              <w:t>000 м</w:t>
            </w:r>
            <w:r>
              <w:rPr>
                <w:vertAlign w:val="superscript"/>
              </w:rPr>
              <w:t>3</w:t>
            </w:r>
            <w:r>
              <w:rPr/>
              <w:t>/добу</w:t>
            </w:r>
          </w:p>
        </w:tc>
      </w:tr>
      <w:tr>
        <w:trPr/>
        <w:tc>
          <w:tcPr>
            <w:tcW w:w="4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Від штрафних санкцій за скид неочищених стічних вод, грн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3 072 000</w:t>
            </w:r>
          </w:p>
        </w:tc>
      </w:tr>
      <w:tr>
        <w:trPr/>
        <w:tc>
          <w:tcPr>
            <w:tcW w:w="4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Вартість завезення мулу з інших очисних споруд, грн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180 000</w:t>
            </w:r>
          </w:p>
        </w:tc>
      </w:tr>
      <w:tr>
        <w:trPr/>
        <w:tc>
          <w:tcPr>
            <w:tcW w:w="4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  <w:t>Загалом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3 252 000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Генеральний директор МКП “Миколаївводоканал”                                              Б.Л.Дуденко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2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416</TotalTime>
  <Application>LibreOffice/6.0.3.2$Linux_X86_64 LibreOffice_project/00m0$Build-2</Application>
  <Pages>1</Pages>
  <Words>186</Words>
  <Characters>1228</Characters>
  <CharactersWithSpaces>1419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2018-08-14T17:17:14Z</dcterms:created>
  <dc:creator/>
  <dc:description/>
  <dc:language>ru-RU</dc:language>
  <cp:lastModifiedBy/>
  <cp:lastPrinted>2018-08-15T10:37:14Z</cp:lastPrinted>
  <dcterms:modified xsi:type="dcterms:W3CDTF">2018-08-16T14:52:10Z</dcterms:modified>
  <cp:revision>5</cp:revision>
  <dc:subject/>
  <dc:title/>
</cp:coreProperties>
</file>