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BE" w:rsidRDefault="00834BBE" w:rsidP="00834BBE">
      <w:pPr>
        <w:pStyle w:val="a3"/>
        <w:rPr>
          <w:rStyle w:val="a4"/>
          <w:rFonts w:ascii="Verdana" w:hAnsi="Verdana"/>
          <w:color w:val="000000"/>
          <w:sz w:val="15"/>
          <w:szCs w:val="15"/>
          <w:lang w:val="uk-UA"/>
        </w:rPr>
      </w:pPr>
      <w:r>
        <w:rPr>
          <w:rStyle w:val="a4"/>
          <w:rFonts w:ascii="Verdana" w:hAnsi="Verdana"/>
          <w:color w:val="000000"/>
          <w:sz w:val="15"/>
          <w:szCs w:val="15"/>
        </w:rPr>
        <w:t>Шановні громадські активісти, члени громадських організацій та ініціативних груп! </w:t>
      </w:r>
    </w:p>
    <w:p w:rsidR="00834BBE" w:rsidRDefault="00834BBE" w:rsidP="00834BBE">
      <w:pPr>
        <w:pStyle w:val="a3"/>
        <w:rPr>
          <w:rFonts w:ascii="Verdana" w:hAnsi="Verdana"/>
          <w:color w:val="000000"/>
          <w:sz w:val="15"/>
          <w:szCs w:val="15"/>
        </w:rPr>
      </w:pPr>
      <w:r>
        <w:rPr>
          <w:rStyle w:val="a4"/>
          <w:rFonts w:ascii="Verdana" w:hAnsi="Verdana"/>
          <w:color w:val="000000"/>
          <w:sz w:val="15"/>
          <w:szCs w:val="15"/>
        </w:rPr>
        <w:t>Вельмишановні благодійники!</w:t>
      </w:r>
    </w:p>
    <w:p w:rsidR="00834BBE" w:rsidRDefault="00834BBE" w:rsidP="00834BBE">
      <w:pPr>
        <w:pStyle w:val="a3"/>
        <w:jc w:val="both"/>
        <w:rPr>
          <w:rFonts w:ascii="Verdana" w:hAnsi="Verdana"/>
          <w:color w:val="000000"/>
          <w:sz w:val="15"/>
          <w:szCs w:val="15"/>
        </w:rPr>
      </w:pPr>
      <w:r>
        <w:rPr>
          <w:rFonts w:ascii="Verdana" w:hAnsi="Verdana"/>
          <w:color w:val="000000"/>
          <w:sz w:val="15"/>
          <w:szCs w:val="15"/>
        </w:rPr>
        <w:t>Незабаром весна повністю набуде своїх прав на вулицях і майданах м. Миколаєва, і більшість публічних заходів за гарної погоди буде відбуватися на відкритому повітрі.</w:t>
      </w:r>
    </w:p>
    <w:p w:rsidR="00834BBE" w:rsidRDefault="00834BBE" w:rsidP="00834BBE">
      <w:pPr>
        <w:pStyle w:val="a3"/>
        <w:jc w:val="both"/>
        <w:rPr>
          <w:rFonts w:ascii="Verdana" w:hAnsi="Verdana"/>
          <w:color w:val="000000"/>
          <w:sz w:val="15"/>
          <w:szCs w:val="15"/>
        </w:rPr>
      </w:pPr>
      <w:r>
        <w:rPr>
          <w:rFonts w:ascii="Verdana" w:hAnsi="Verdana"/>
          <w:color w:val="000000"/>
          <w:sz w:val="15"/>
          <w:szCs w:val="15"/>
        </w:rPr>
        <w:t xml:space="preserve">Серед них, звичайно, будуть </w:t>
      </w:r>
      <w:bookmarkStart w:id="0" w:name="_GoBack"/>
      <w:r>
        <w:rPr>
          <w:rFonts w:ascii="Verdana" w:hAnsi="Verdana"/>
          <w:color w:val="000000"/>
          <w:sz w:val="15"/>
          <w:szCs w:val="15"/>
        </w:rPr>
        <w:t>акції благодійного спрямування</w:t>
      </w:r>
      <w:bookmarkEnd w:id="0"/>
      <w:r>
        <w:rPr>
          <w:rFonts w:ascii="Verdana" w:hAnsi="Verdana"/>
          <w:color w:val="000000"/>
          <w:sz w:val="15"/>
          <w:szCs w:val="15"/>
        </w:rPr>
        <w:t>, які передбачають збір коштів на доброчинні цілі. Адже поряд із нами живуть ті, хто потребує допомоги щодня.</w:t>
      </w:r>
    </w:p>
    <w:p w:rsidR="00834BBE" w:rsidRDefault="00834BBE" w:rsidP="00834BBE">
      <w:pPr>
        <w:pStyle w:val="a3"/>
        <w:jc w:val="both"/>
        <w:rPr>
          <w:rFonts w:ascii="Verdana" w:hAnsi="Verdana"/>
          <w:color w:val="000000"/>
          <w:sz w:val="15"/>
          <w:szCs w:val="15"/>
        </w:rPr>
      </w:pPr>
      <w:r>
        <w:rPr>
          <w:rFonts w:ascii="Verdana" w:hAnsi="Verdana"/>
          <w:color w:val="000000"/>
          <w:sz w:val="15"/>
          <w:szCs w:val="15"/>
        </w:rPr>
        <w:t>Один із найстаріших інструментів залучення фінансових ресурсів – це збір пожертв у благодійні скриньки. Скриньковий збір швидкий та доступний, однак містить у собі багато ризиків для репутації як конкретного волонтера чи організації, так і всього сектору благодійності. Адже серед тих, хто дійсно має благородні наміри та робить добрі справи, трапляються, на жаль, і банальні шахраї, що кладуть кошти добросердних миколаївців у власну кишеню.</w:t>
      </w:r>
    </w:p>
    <w:p w:rsidR="00834BBE" w:rsidRDefault="00834BBE" w:rsidP="00834BBE">
      <w:pPr>
        <w:pStyle w:val="a3"/>
        <w:jc w:val="both"/>
        <w:rPr>
          <w:rFonts w:ascii="Verdana" w:hAnsi="Verdana"/>
          <w:color w:val="000000"/>
          <w:sz w:val="15"/>
          <w:szCs w:val="15"/>
        </w:rPr>
      </w:pPr>
      <w:r>
        <w:rPr>
          <w:rFonts w:ascii="Verdana" w:hAnsi="Verdana"/>
          <w:color w:val="000000"/>
          <w:sz w:val="15"/>
          <w:szCs w:val="15"/>
        </w:rPr>
        <w:t>Для того щоб уникнути бодай підозри у такому шахрайстві, активістам варто пам’ятати і чітко виконувати норми чинного законодавства України, які регулюють питання збору благодійних пожертв.</w:t>
      </w:r>
    </w:p>
    <w:p w:rsidR="00834BBE" w:rsidRDefault="00834BBE" w:rsidP="00834BBE">
      <w:pPr>
        <w:pStyle w:val="a3"/>
        <w:jc w:val="both"/>
        <w:rPr>
          <w:rFonts w:ascii="Verdana" w:hAnsi="Verdana"/>
          <w:color w:val="000000"/>
          <w:sz w:val="15"/>
          <w:szCs w:val="15"/>
        </w:rPr>
      </w:pPr>
      <w:r>
        <w:rPr>
          <w:rFonts w:ascii="Verdana" w:hAnsi="Verdana"/>
          <w:color w:val="000000"/>
          <w:sz w:val="15"/>
          <w:szCs w:val="15"/>
        </w:rPr>
        <w:t>Порядок здійснення публічного збору благодійних пожертв визначено </w:t>
      </w:r>
      <w:r>
        <w:rPr>
          <w:rStyle w:val="a4"/>
          <w:rFonts w:ascii="Verdana" w:hAnsi="Verdana"/>
          <w:color w:val="000000"/>
          <w:sz w:val="15"/>
          <w:szCs w:val="15"/>
        </w:rPr>
        <w:t>статтею 7 Закону України </w:t>
      </w:r>
      <w:hyperlink r:id="rId5" w:history="1">
        <w:r>
          <w:rPr>
            <w:rStyle w:val="a5"/>
            <w:rFonts w:ascii="Verdana" w:hAnsi="Verdana"/>
            <w:b/>
            <w:bCs/>
            <w:sz w:val="15"/>
            <w:szCs w:val="15"/>
          </w:rPr>
          <w:t>"Про благодійну діяльність та благодійні організації"</w:t>
        </w:r>
      </w:hyperlink>
      <w:r>
        <w:rPr>
          <w:rStyle w:val="a4"/>
          <w:rFonts w:ascii="Verdana" w:hAnsi="Verdana"/>
          <w:color w:val="000000"/>
          <w:sz w:val="15"/>
          <w:szCs w:val="15"/>
        </w:rPr>
        <w:t>. </w:t>
      </w:r>
      <w:r>
        <w:rPr>
          <w:rFonts w:ascii="Verdana" w:hAnsi="Verdana"/>
          <w:color w:val="000000"/>
          <w:sz w:val="15"/>
          <w:szCs w:val="15"/>
        </w:rPr>
        <w:t>Таким збором закон визначає добровільний збір цільової допомоги у формі коштів або майна серед невизначеного кола осіб, зокрема з використанням засобів електронного зв'язку або телекомунікації для досягнення цілей, визначених вищеназваним законом.</w:t>
      </w:r>
    </w:p>
    <w:p w:rsidR="00834BBE" w:rsidRDefault="00834BBE" w:rsidP="00834BBE">
      <w:pPr>
        <w:pStyle w:val="a3"/>
        <w:jc w:val="both"/>
        <w:rPr>
          <w:rFonts w:ascii="Verdana" w:hAnsi="Verdana"/>
          <w:color w:val="000000"/>
          <w:sz w:val="15"/>
          <w:szCs w:val="15"/>
        </w:rPr>
      </w:pPr>
      <w:r>
        <w:rPr>
          <w:rFonts w:ascii="Verdana" w:hAnsi="Verdana"/>
          <w:color w:val="000000"/>
          <w:sz w:val="15"/>
          <w:szCs w:val="15"/>
        </w:rPr>
        <w:t>Особи, які здійснюють </w:t>
      </w:r>
      <w:r>
        <w:rPr>
          <w:rStyle w:val="a4"/>
          <w:rFonts w:ascii="Verdana" w:hAnsi="Verdana"/>
          <w:color w:val="000000"/>
          <w:sz w:val="15"/>
          <w:szCs w:val="15"/>
        </w:rPr>
        <w:t>публічний збір благодійних пожертв від імені благодійної організації</w:t>
      </w:r>
      <w:r>
        <w:rPr>
          <w:rFonts w:ascii="Verdana" w:hAnsi="Verdana"/>
          <w:color w:val="000000"/>
          <w:sz w:val="15"/>
          <w:szCs w:val="15"/>
        </w:rPr>
        <w:t>, діють </w:t>
      </w:r>
      <w:r>
        <w:rPr>
          <w:rStyle w:val="a4"/>
          <w:rFonts w:ascii="Verdana" w:hAnsi="Verdana"/>
          <w:color w:val="000000"/>
          <w:sz w:val="15"/>
          <w:szCs w:val="15"/>
        </w:rPr>
        <w:t>на підставі нотаріально посвідченої довіреності керівника благодійної організації</w:t>
      </w:r>
      <w:r>
        <w:rPr>
          <w:rFonts w:ascii="Verdana" w:hAnsi="Verdana"/>
          <w:color w:val="000000"/>
          <w:sz w:val="15"/>
          <w:szCs w:val="15"/>
        </w:rPr>
        <w:t>.</w:t>
      </w:r>
    </w:p>
    <w:p w:rsidR="00834BBE" w:rsidRDefault="00834BBE" w:rsidP="00834BBE">
      <w:pPr>
        <w:pStyle w:val="a3"/>
        <w:jc w:val="both"/>
        <w:rPr>
          <w:rFonts w:ascii="Verdana" w:hAnsi="Verdana"/>
          <w:color w:val="000000"/>
          <w:sz w:val="15"/>
          <w:szCs w:val="15"/>
        </w:rPr>
      </w:pPr>
      <w:r>
        <w:rPr>
          <w:rFonts w:ascii="Verdana" w:hAnsi="Verdana"/>
          <w:color w:val="000000"/>
          <w:sz w:val="15"/>
          <w:szCs w:val="15"/>
        </w:rPr>
        <w:t>Довіреність має визначати, зокрема, цілі, місце і строк збору коштів або іншого майна, порядок їх використання та порядок загального доступу до фінансових звітів благодійної організації.</w:t>
      </w:r>
    </w:p>
    <w:p w:rsidR="00834BBE" w:rsidRDefault="00834BBE" w:rsidP="00834BBE">
      <w:pPr>
        <w:pStyle w:val="a3"/>
        <w:jc w:val="both"/>
        <w:rPr>
          <w:rFonts w:ascii="Verdana" w:hAnsi="Verdana"/>
          <w:color w:val="000000"/>
          <w:sz w:val="15"/>
          <w:szCs w:val="15"/>
        </w:rPr>
      </w:pPr>
      <w:r>
        <w:rPr>
          <w:rFonts w:ascii="Verdana" w:hAnsi="Verdana"/>
          <w:color w:val="000000"/>
          <w:sz w:val="15"/>
          <w:szCs w:val="15"/>
        </w:rPr>
        <w:t>Особи, які здійснюють публічний збір благодійних пожертв </w:t>
      </w:r>
      <w:r>
        <w:rPr>
          <w:rStyle w:val="a4"/>
          <w:rFonts w:ascii="Verdana" w:hAnsi="Verdana"/>
          <w:color w:val="000000"/>
          <w:sz w:val="15"/>
          <w:szCs w:val="15"/>
        </w:rPr>
        <w:t>на користь благодійної організації від власного імені</w:t>
      </w:r>
      <w:r>
        <w:rPr>
          <w:rFonts w:ascii="Verdana" w:hAnsi="Verdana"/>
          <w:color w:val="000000"/>
          <w:sz w:val="15"/>
          <w:szCs w:val="15"/>
        </w:rPr>
        <w:t>, діють на підставі </w:t>
      </w:r>
      <w:r>
        <w:rPr>
          <w:rStyle w:val="a4"/>
          <w:rFonts w:ascii="Verdana" w:hAnsi="Verdana"/>
          <w:color w:val="000000"/>
          <w:sz w:val="15"/>
          <w:szCs w:val="15"/>
        </w:rPr>
        <w:t>контракту (договору) про благодійну діяльність з такою благодійною організацією</w:t>
      </w:r>
      <w:r>
        <w:rPr>
          <w:rFonts w:ascii="Verdana" w:hAnsi="Verdana"/>
          <w:color w:val="000000"/>
          <w:sz w:val="15"/>
          <w:szCs w:val="15"/>
        </w:rPr>
        <w:t>.</w:t>
      </w:r>
    </w:p>
    <w:p w:rsidR="00834BBE" w:rsidRDefault="00834BBE" w:rsidP="00834BBE">
      <w:pPr>
        <w:pStyle w:val="a3"/>
        <w:jc w:val="both"/>
        <w:rPr>
          <w:rFonts w:ascii="Verdana" w:hAnsi="Verdana"/>
          <w:color w:val="000000"/>
          <w:sz w:val="15"/>
          <w:szCs w:val="15"/>
        </w:rPr>
      </w:pPr>
      <w:r>
        <w:rPr>
          <w:rFonts w:ascii="Verdana" w:hAnsi="Verdana"/>
          <w:color w:val="000000"/>
          <w:sz w:val="15"/>
          <w:szCs w:val="15"/>
        </w:rPr>
        <w:t>Контракт (договір) має визначати, зокрема, цілі, місце і строк збору коштів або іншого майна, порядок їх використання, порядок загального доступу до фінансових звітів благодійної організації та відповідальність сторін у разі порушення контракту (договору) або порядку використання пожертв.</w:t>
      </w:r>
    </w:p>
    <w:p w:rsidR="00834BBE" w:rsidRDefault="00834BBE" w:rsidP="00834BBE">
      <w:pPr>
        <w:pStyle w:val="a3"/>
        <w:jc w:val="both"/>
        <w:rPr>
          <w:rFonts w:ascii="Verdana" w:hAnsi="Verdana"/>
          <w:color w:val="000000"/>
          <w:sz w:val="15"/>
          <w:szCs w:val="15"/>
        </w:rPr>
      </w:pPr>
      <w:r>
        <w:rPr>
          <w:rFonts w:ascii="Verdana" w:hAnsi="Verdana"/>
          <w:color w:val="000000"/>
          <w:sz w:val="15"/>
          <w:szCs w:val="15"/>
        </w:rPr>
        <w:t>Особи, які здійснюють публічний збір благодійних пожертв </w:t>
      </w:r>
      <w:r>
        <w:rPr>
          <w:rStyle w:val="a4"/>
          <w:rFonts w:ascii="Verdana" w:hAnsi="Verdana"/>
          <w:color w:val="000000"/>
          <w:sz w:val="15"/>
          <w:szCs w:val="15"/>
        </w:rPr>
        <w:t>від імені або на користь інших бенефіціарів (крім благодійних організацій)</w:t>
      </w:r>
      <w:r>
        <w:rPr>
          <w:rFonts w:ascii="Verdana" w:hAnsi="Verdana"/>
          <w:color w:val="000000"/>
          <w:sz w:val="15"/>
          <w:szCs w:val="15"/>
        </w:rPr>
        <w:t>, діють на підставі </w:t>
      </w:r>
      <w:r>
        <w:rPr>
          <w:rStyle w:val="a4"/>
          <w:rFonts w:ascii="Verdana" w:hAnsi="Verdana"/>
          <w:color w:val="000000"/>
          <w:sz w:val="15"/>
          <w:szCs w:val="15"/>
        </w:rPr>
        <w:t>контракту (договору) про благодійну діяльність з таким бенефіціаром або одним із його законних представників</w:t>
      </w:r>
      <w:r>
        <w:rPr>
          <w:rFonts w:ascii="Verdana" w:hAnsi="Verdana"/>
          <w:color w:val="000000"/>
          <w:sz w:val="15"/>
          <w:szCs w:val="15"/>
        </w:rPr>
        <w:t>.</w:t>
      </w:r>
    </w:p>
    <w:p w:rsidR="00834BBE" w:rsidRDefault="00834BBE" w:rsidP="00834BBE">
      <w:pPr>
        <w:pStyle w:val="a3"/>
        <w:jc w:val="both"/>
        <w:rPr>
          <w:rFonts w:ascii="Verdana" w:hAnsi="Verdana"/>
          <w:color w:val="000000"/>
          <w:sz w:val="15"/>
          <w:szCs w:val="15"/>
        </w:rPr>
      </w:pPr>
      <w:r>
        <w:rPr>
          <w:rFonts w:ascii="Verdana" w:hAnsi="Verdana"/>
          <w:color w:val="000000"/>
          <w:sz w:val="15"/>
          <w:szCs w:val="15"/>
        </w:rPr>
        <w:t>Контракт (договір) має визначати, зокрема, цілі, місце і строк збору коштів або іншого майна, порядок їх цільового використання, обліку та звітності, а також відповідальність особи, яка здійснює публічний збір благодійних пожертв, перед бенефіціаром і благодійниками у разі порушення контракту (договору) або порядку використання таких пожертв.</w:t>
      </w:r>
    </w:p>
    <w:p w:rsidR="00834BBE" w:rsidRDefault="00834BBE" w:rsidP="00834BBE">
      <w:pPr>
        <w:pStyle w:val="a3"/>
        <w:jc w:val="both"/>
        <w:rPr>
          <w:rFonts w:ascii="Verdana" w:hAnsi="Verdana"/>
          <w:color w:val="000000"/>
          <w:sz w:val="15"/>
          <w:szCs w:val="15"/>
        </w:rPr>
      </w:pPr>
      <w:r>
        <w:rPr>
          <w:rFonts w:ascii="Verdana" w:hAnsi="Verdana"/>
          <w:color w:val="000000"/>
          <w:sz w:val="15"/>
          <w:szCs w:val="15"/>
        </w:rPr>
        <w:t>Особи, які перебувають на державній або іншій публічній службі та особи, які діють від імені осіб, які перебувають на державній або іншій публічній службі, не мають права здійснювати публічний збір благодійних пожертв, крім випадків, передбачених цим Законом.</w:t>
      </w:r>
    </w:p>
    <w:p w:rsidR="00834BBE" w:rsidRDefault="00834BBE" w:rsidP="00834BBE">
      <w:pPr>
        <w:pStyle w:val="a3"/>
        <w:jc w:val="both"/>
        <w:rPr>
          <w:rFonts w:ascii="Verdana" w:hAnsi="Verdana"/>
          <w:color w:val="000000"/>
          <w:sz w:val="15"/>
          <w:szCs w:val="15"/>
        </w:rPr>
      </w:pPr>
      <w:r>
        <w:rPr>
          <w:rFonts w:ascii="Verdana" w:hAnsi="Verdana"/>
          <w:color w:val="000000"/>
          <w:sz w:val="15"/>
          <w:szCs w:val="15"/>
        </w:rPr>
        <w:t>Забороняється публічний збір благодійних пожертв на цілі, що суперечать законам України або порушують права третіх осіб. Забороняється публічний збір благодійних пожертв у формі підакцизних товарів.</w:t>
      </w:r>
    </w:p>
    <w:p w:rsidR="00834BBE" w:rsidRDefault="00834BBE" w:rsidP="00834BBE">
      <w:pPr>
        <w:pStyle w:val="a3"/>
        <w:jc w:val="both"/>
        <w:rPr>
          <w:rFonts w:ascii="Verdana" w:hAnsi="Verdana"/>
          <w:color w:val="000000"/>
          <w:sz w:val="15"/>
          <w:szCs w:val="15"/>
        </w:rPr>
      </w:pPr>
      <w:r>
        <w:rPr>
          <w:rFonts w:ascii="Verdana" w:hAnsi="Verdana"/>
          <w:color w:val="000000"/>
          <w:sz w:val="15"/>
          <w:szCs w:val="15"/>
        </w:rPr>
        <w:t>Положення про публічний збір благодійних пожертв застосовуються до публічного продажу майна від імені або на користь благодійних організацій (публічних торгів, конкурсів, аукціонів тощо).</w:t>
      </w:r>
    </w:p>
    <w:p w:rsidR="00834BBE" w:rsidRDefault="00834BBE" w:rsidP="00834BBE">
      <w:pPr>
        <w:pStyle w:val="a3"/>
        <w:jc w:val="both"/>
        <w:rPr>
          <w:rFonts w:ascii="Verdana" w:hAnsi="Verdana"/>
          <w:color w:val="000000"/>
          <w:sz w:val="15"/>
          <w:szCs w:val="15"/>
        </w:rPr>
      </w:pPr>
      <w:r>
        <w:rPr>
          <w:rStyle w:val="a4"/>
          <w:rFonts w:ascii="Verdana" w:hAnsi="Verdana"/>
          <w:color w:val="000000"/>
          <w:sz w:val="15"/>
          <w:szCs w:val="15"/>
        </w:rPr>
        <w:t>Увага!</w:t>
      </w:r>
      <w:r>
        <w:rPr>
          <w:rFonts w:ascii="Verdana" w:hAnsi="Verdana"/>
          <w:color w:val="000000"/>
          <w:sz w:val="15"/>
          <w:szCs w:val="15"/>
        </w:rPr>
        <w:t> Публічний збір </w:t>
      </w:r>
      <w:hyperlink r:id="rId6" w:anchor="n8" w:history="1">
        <w:r>
          <w:rPr>
            <w:rStyle w:val="a4"/>
            <w:rFonts w:ascii="Verdana" w:hAnsi="Verdana"/>
            <w:color w:val="0000FF"/>
            <w:sz w:val="15"/>
            <w:szCs w:val="15"/>
            <w:u w:val="single"/>
          </w:rPr>
          <w:t>благодійних пожертв для забезпечення бойової, мобілізаційної готовності, боєздатності та функціонування Збройних Сил України</w:t>
        </w:r>
      </w:hyperlink>
      <w:r>
        <w:rPr>
          <w:rFonts w:ascii="Verdana" w:hAnsi="Verdana"/>
          <w:color w:val="000000"/>
          <w:sz w:val="15"/>
          <w:szCs w:val="15"/>
        </w:rPr>
        <w:t> здійснюється </w:t>
      </w:r>
      <w:r>
        <w:rPr>
          <w:rStyle w:val="a4"/>
          <w:rFonts w:ascii="Verdana" w:hAnsi="Verdana"/>
          <w:color w:val="000000"/>
          <w:sz w:val="15"/>
          <w:szCs w:val="15"/>
        </w:rPr>
        <w:t>у порядку, визначеному Кабінетом Міністрів України.</w:t>
      </w:r>
    </w:p>
    <w:p w:rsidR="006178EA" w:rsidRDefault="006178EA"/>
    <w:sectPr w:rsidR="00617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C8"/>
    <w:rsid w:val="006178EA"/>
    <w:rsid w:val="00834BBE"/>
    <w:rsid w:val="00A542C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BBE"/>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834BBE"/>
    <w:rPr>
      <w:b/>
      <w:bCs/>
    </w:rPr>
  </w:style>
  <w:style w:type="character" w:styleId="a5">
    <w:name w:val="Hyperlink"/>
    <w:basedOn w:val="a0"/>
    <w:uiPriority w:val="99"/>
    <w:semiHidden/>
    <w:unhideWhenUsed/>
    <w:rsid w:val="00834B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4BBE"/>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834BBE"/>
    <w:rPr>
      <w:b/>
      <w:bCs/>
    </w:rPr>
  </w:style>
  <w:style w:type="character" w:styleId="a5">
    <w:name w:val="Hyperlink"/>
    <w:basedOn w:val="a0"/>
    <w:uiPriority w:val="99"/>
    <w:semiHidden/>
    <w:unhideWhenUsed/>
    <w:rsid w:val="00834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2.rada.gov.ua/laws/show/451-2015-%D0%BF/paran8" TargetMode="External"/><Relationship Id="rId5" Type="http://schemas.openxmlformats.org/officeDocument/2006/relationships/hyperlink" Target="http://zakon2.rada.gov.ua/laws/show/5073-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user249d</dc:creator>
  <cp:keywords/>
  <dc:description/>
  <cp:lastModifiedBy>user249d</cp:lastModifiedBy>
  <cp:revision>2</cp:revision>
  <dcterms:created xsi:type="dcterms:W3CDTF">2021-10-06T10:37:00Z</dcterms:created>
  <dcterms:modified xsi:type="dcterms:W3CDTF">2021-10-06T10:38:00Z</dcterms:modified>
</cp:coreProperties>
</file>